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0" w:lineRule="exact"/>
        <w:ind w:left="101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524.3pt;height:1pt;mso-position-horizontal-relative:char;mso-position-vertical-relative:line" coordorigin="0,0" coordsize="10486,20">
            <v:line style="position:absolute" from="10,10" to="10476,10" stroked="true" strokeweight="1pt" strokecolor="#183028"/>
          </v:group>
        </w:pict>
      </w:r>
      <w:r>
        <w:rPr>
          <w:rFonts w:ascii="Times New Roman"/>
          <w:sz w:val="2"/>
        </w:rPr>
      </w:r>
    </w:p>
    <w:p>
      <w:pPr>
        <w:pStyle w:val="BodyText"/>
        <w:spacing w:before="1"/>
        <w:rPr>
          <w:rFonts w:ascii="Times New Roman"/>
          <w:sz w:val="10"/>
        </w:rPr>
      </w:pPr>
    </w:p>
    <w:p>
      <w:pPr>
        <w:pStyle w:val="Heading1"/>
      </w:pPr>
      <w:r>
        <w:rPr>
          <w:color w:val="183028"/>
        </w:rPr>
        <w:t>A Portrait of the Artist as a Young Man</w:t>
      </w:r>
    </w:p>
    <w:p>
      <w:pPr>
        <w:pStyle w:val="BodyText"/>
        <w:spacing w:before="4"/>
        <w:rPr>
          <w:b/>
          <w:sz w:val="9"/>
        </w:rPr>
      </w:pPr>
      <w:r>
        <w:rPr/>
        <w:pict>
          <v:line style="position:absolute;mso-position-horizontal-relative:page;mso-position-vertical-relative:paragraph;z-index:1048;mso-wrap-distance-left:0;mso-wrap-distance-right:0" from="36.412498pt,7.496262pt" to="559.688498pt,7.496262pt" stroked="true" strokeweight=".25pt" strokecolor="#183028">
            <w10:wrap type="topAndBottom"/>
          </v:line>
        </w:pict>
      </w:r>
      <w:r>
        <w:rPr/>
        <w:drawing>
          <wp:anchor distT="0" distB="0" distL="0" distR="0" allowOverlap="1" layoutInCell="1" locked="0" behindDoc="0" simplePos="0" relativeHeight="1072">
            <wp:simplePos x="0" y="0"/>
            <wp:positionH relativeFrom="page">
              <wp:posOffset>464540</wp:posOffset>
            </wp:positionH>
            <wp:positionV relativeFrom="paragraph">
              <wp:posOffset>252935</wp:posOffset>
            </wp:positionV>
            <wp:extent cx="6662632" cy="2383535"/>
            <wp:effectExtent l="0" t="0" r="0" b="0"/>
            <wp:wrapTopAndBottom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2632" cy="2383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b/>
          <w:sz w:val="15"/>
        </w:rPr>
      </w:pPr>
    </w:p>
    <w:p>
      <w:pPr>
        <w:pStyle w:val="BodyText"/>
        <w:spacing w:before="3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10" w:h="16840"/>
          <w:pgMar w:top="400" w:bottom="0" w:left="580" w:right="600"/>
        </w:sectPr>
      </w:pPr>
    </w:p>
    <w:p>
      <w:pPr>
        <w:spacing w:before="54"/>
        <w:ind w:left="151" w:right="1371" w:firstLine="0"/>
        <w:jc w:val="left"/>
        <w:rPr>
          <w:b/>
          <w:sz w:val="30"/>
        </w:rPr>
      </w:pPr>
      <w:r>
        <w:rPr>
          <w:b/>
          <w:color w:val="183028"/>
          <w:sz w:val="30"/>
        </w:rPr>
        <w:t>Rebel without a Pause</w:t>
      </w:r>
    </w:p>
    <w:p>
      <w:pPr>
        <w:pStyle w:val="Heading2"/>
        <w:spacing w:line="249" w:lineRule="auto" w:before="228"/>
      </w:pPr>
      <w:r>
        <w:rPr>
          <w:color w:val="183028"/>
        </w:rPr>
        <w:t>Presented by Bloomsday in Melbourne Directed by Wayne Pearn</w:t>
      </w:r>
    </w:p>
    <w:p>
      <w:pPr>
        <w:spacing w:before="49"/>
        <w:ind w:left="151" w:right="1371" w:firstLine="0"/>
        <w:jc w:val="left"/>
        <w:rPr>
          <w:b/>
          <w:sz w:val="20"/>
        </w:rPr>
      </w:pPr>
      <w:r>
        <w:rPr>
          <w:b/>
          <w:color w:val="183028"/>
          <w:sz w:val="20"/>
        </w:rPr>
        <w:t>15-19 June 2016</w:t>
      </w:r>
    </w:p>
    <w:p>
      <w:pPr>
        <w:pStyle w:val="BodyText"/>
        <w:spacing w:before="8"/>
        <w:rPr>
          <w:b/>
          <w:sz w:val="21"/>
        </w:rPr>
      </w:pPr>
    </w:p>
    <w:p>
      <w:pPr>
        <w:pStyle w:val="BodyText"/>
        <w:spacing w:line="249" w:lineRule="auto"/>
        <w:ind w:left="151"/>
      </w:pPr>
      <w:r>
        <w:rPr/>
        <w:t>To mark the centenary of its publication in</w:t>
      </w:r>
      <w:r>
        <w:rPr>
          <w:spacing w:val="29"/>
        </w:rPr>
        <w:t> </w:t>
      </w:r>
      <w:r>
        <w:rPr/>
        <w:t>1916,</w:t>
      </w:r>
      <w:r>
        <w:rPr>
          <w:spacing w:val="3"/>
        </w:rPr>
        <w:t> </w:t>
      </w:r>
      <w:r>
        <w:rPr/>
        <w:t>Blooms-</w:t>
      </w:r>
      <w:r>
        <w:rPr>
          <w:w w:val="99"/>
        </w:rPr>
        <w:t> </w:t>
      </w:r>
      <w:r>
        <w:rPr/>
        <w:t>day in Melbourne (now in its 23rd year and with 25 origi- nal Joyce-inspired plays under its belt), celebrates  James Joyce’s most popular and user-friendly fiction, </w:t>
      </w:r>
      <w:r>
        <w:rPr>
          <w:i/>
        </w:rPr>
        <w:t>A </w:t>
      </w:r>
      <w:r>
        <w:rPr>
          <w:i/>
        </w:rPr>
        <w:t>Portrait of the Artist as a Young Man</w:t>
      </w:r>
      <w:r>
        <w:rPr/>
        <w:t>. The centre-piece is an original theatrical adaptation (with cadenzas) of </w:t>
      </w:r>
      <w:r>
        <w:rPr>
          <w:i/>
        </w:rPr>
        <w:t>Portrait </w:t>
      </w:r>
      <w:r>
        <w:rPr/>
        <w:t>at fortyfivedownstairs - ‘Exotic, patriotic, chaotic, erotic and hypnotic’, according to director, </w:t>
      </w:r>
      <w:r>
        <w:rPr>
          <w:spacing w:val="43"/>
        </w:rPr>
        <w:t> </w:t>
      </w:r>
      <w:r>
        <w:rPr/>
        <w:t>Pearn.</w:t>
      </w:r>
    </w:p>
    <w:p>
      <w:pPr>
        <w:pStyle w:val="BodyText"/>
        <w:spacing w:before="11"/>
      </w:pPr>
    </w:p>
    <w:p>
      <w:pPr>
        <w:pStyle w:val="BodyText"/>
        <w:spacing w:line="249" w:lineRule="auto"/>
        <w:ind w:left="151" w:right="98"/>
      </w:pPr>
      <w:r>
        <w:rPr/>
        <w:t>Alongside the play and amplifying it, is the seminar at Papa Goose, with the opportunity to kick back with the Bloomsday community for a two-course dinner.</w:t>
      </w:r>
    </w:p>
    <w:p>
      <w:pPr>
        <w:pStyle w:val="BodyText"/>
        <w:spacing w:line="249" w:lineRule="auto" w:before="1"/>
        <w:ind w:left="151" w:right="98"/>
      </w:pPr>
      <w:r>
        <w:rPr/>
        <w:t>Joyce was only 22 when he began </w:t>
      </w:r>
      <w:r>
        <w:rPr>
          <w:i/>
        </w:rPr>
        <w:t>Portrait</w:t>
      </w:r>
      <w:r>
        <w:rPr/>
        <w:t>, and it took him even longer to compose this short and compelling work than it did to create the masterpiece that is </w:t>
      </w:r>
      <w:r>
        <w:rPr>
          <w:i/>
        </w:rPr>
        <w:t>Ulysses</w:t>
      </w:r>
      <w:r>
        <w:rPr/>
        <w:t>.</w:t>
      </w:r>
    </w:p>
    <w:p>
      <w:pPr>
        <w:pStyle w:val="BodyText"/>
        <w:spacing w:line="249" w:lineRule="auto" w:before="66"/>
        <w:ind w:left="151" w:right="309"/>
      </w:pPr>
      <w:r>
        <w:rPr/>
        <w:br w:type="column"/>
      </w:r>
      <w:r>
        <w:rPr/>
        <w:t>His first attempt was hurled into the fire, and his final version provoked epic battles with censors and publish- ers. The Joyce who wrote about his past self was both intimate with, and comically critical of, the process of  the artist-hero’s emancipation– from family, church,</w:t>
      </w:r>
      <w:r>
        <w:rPr>
          <w:spacing w:val="32"/>
        </w:rPr>
        <w:t> </w:t>
      </w:r>
      <w:r>
        <w:rPr/>
        <w:t>na-</w:t>
      </w:r>
    </w:p>
    <w:p>
      <w:pPr>
        <w:pStyle w:val="BodyText"/>
        <w:spacing w:line="249" w:lineRule="auto" w:before="1"/>
        <w:ind w:left="151" w:right="197"/>
      </w:pPr>
      <w:r>
        <w:rPr/>
        <w:t>tion, his own language, and the literary tradition he inher- ited. Matt Dorning is Stephen Dedalus, a rebel without a pause, a rebel with a cause – coltish, edgy, challenging, full of </w:t>
      </w:r>
      <w:r>
        <w:rPr>
          <w:i/>
        </w:rPr>
        <w:t>Sturm und Drang</w:t>
      </w:r>
      <w:r>
        <w:rPr/>
        <w:t>, and very funny. Can Stephen realize his exhilarating (over-reaching?) ambition to fly free, and make the world a-fresh, to live in a different relationship to his body, his society, knowledge itself,  and his</w:t>
      </w:r>
      <w:r>
        <w:rPr>
          <w:spacing w:val="-1"/>
        </w:rPr>
        <w:t> </w:t>
      </w:r>
      <w:r>
        <w:rPr/>
        <w:t>art?</w:t>
      </w:r>
    </w:p>
    <w:p>
      <w:pPr>
        <w:pStyle w:val="BodyText"/>
        <w:spacing w:before="11"/>
      </w:pPr>
    </w:p>
    <w:p>
      <w:pPr>
        <w:pStyle w:val="BodyText"/>
        <w:spacing w:line="249" w:lineRule="auto"/>
        <w:ind w:left="151" w:right="201"/>
      </w:pPr>
      <w:r>
        <w:rPr/>
        <w:t>Bookings essential: 03 9898 2900 </w:t>
      </w:r>
      <w:hyperlink r:id="rId6">
        <w:r>
          <w:rPr>
            <w:u w:val="single"/>
          </w:rPr>
          <w:t>http://www.bloomsdayinmelbourne.org.au/bookings</w:t>
        </w:r>
      </w:hyperlink>
    </w:p>
    <w:p>
      <w:pPr>
        <w:pStyle w:val="BodyText"/>
        <w:spacing w:before="11"/>
      </w:pPr>
    </w:p>
    <w:p>
      <w:pPr>
        <w:pStyle w:val="BodyText"/>
        <w:spacing w:line="249" w:lineRule="auto"/>
        <w:ind w:left="151" w:right="201"/>
      </w:pPr>
      <w:r>
        <w:rPr/>
        <w:t>More Information: </w:t>
      </w:r>
      <w:hyperlink r:id="rId7">
        <w:r>
          <w:rPr>
            <w:u w:val="single"/>
          </w:rPr>
          <w:t>www.bloomsdayinmelbourne.org.au/</w:t>
        </w:r>
      </w:hyperlink>
      <w:r>
        <w:rPr>
          <w:u w:val="single"/>
        </w:rPr>
        <w:t> </w:t>
      </w:r>
      <w:hyperlink r:id="rId7">
        <w:r>
          <w:rPr>
            <w:u w:val="single"/>
          </w:rPr>
          <w:t>bloomsday-2016-a-portrait-of-the-artist-as-a-young-man/</w:t>
        </w:r>
      </w:hyperlink>
    </w:p>
    <w:p>
      <w:pPr>
        <w:pStyle w:val="BodyText"/>
        <w:spacing w:before="11"/>
      </w:pPr>
    </w:p>
    <w:p>
      <w:pPr>
        <w:pStyle w:val="BodyText"/>
        <w:ind w:left="151" w:right="201"/>
      </w:pPr>
      <w:r>
        <w:rPr/>
        <w:t>Enquiries: Frances Devlin-Glass 0419 004 762</w:t>
      </w:r>
    </w:p>
    <w:p>
      <w:pPr>
        <w:spacing w:after="0"/>
        <w:sectPr>
          <w:type w:val="continuous"/>
          <w:pgSz w:w="11910" w:h="16840"/>
          <w:pgMar w:top="400" w:bottom="0" w:left="580" w:right="600"/>
          <w:cols w:num="2" w:equalWidth="0">
            <w:col w:w="5232" w:space="93"/>
            <w:col w:w="5405"/>
          </w:cols>
        </w:sectPr>
      </w:pPr>
    </w:p>
    <w:p>
      <w:pPr>
        <w:pStyle w:val="BodyText"/>
      </w:pPr>
      <w:r>
        <w:rPr/>
        <w:pict>
          <v:rect style="position:absolute;margin-left:-.165pt;margin-top:.000015pt;width:595.276pt;height:841.89pt;mso-position-horizontal-relative:page;mso-position-vertical-relative:page;z-index:-3928" filled="true" fillcolor="#d1ccbe" stroked="false">
            <v:fill type="solid"/>
            <w10:wrap type="none"/>
          </v:rect>
        </w:pict>
      </w:r>
    </w:p>
    <w:p>
      <w:pPr>
        <w:pStyle w:val="BodyText"/>
        <w:spacing w:before="9" w:after="1"/>
        <w:rPr>
          <w:sz w:val="29"/>
        </w:rPr>
      </w:pPr>
    </w:p>
    <w:tbl>
      <w:tblPr>
        <w:tblW w:w="0" w:type="auto"/>
        <w:jc w:val="left"/>
        <w:tblInd w:w="1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7"/>
        <w:gridCol w:w="3288"/>
        <w:gridCol w:w="2448"/>
        <w:gridCol w:w="2478"/>
      </w:tblGrid>
      <w:tr>
        <w:trPr>
          <w:trHeight w:val="372" w:hRule="exact"/>
        </w:trPr>
        <w:tc>
          <w:tcPr>
            <w:tcW w:w="2247" w:type="dxa"/>
            <w:shd w:val="clear" w:color="auto" w:fill="D1CCBE"/>
          </w:tcPr>
          <w:p>
            <w:pPr>
              <w:pStyle w:val="TableParagraph"/>
              <w:spacing w:before="40"/>
              <w:ind w:right="177"/>
              <w:rPr>
                <w:b/>
                <w:sz w:val="20"/>
              </w:rPr>
            </w:pPr>
            <w:r>
              <w:rPr>
                <w:b/>
                <w:sz w:val="20"/>
              </w:rPr>
              <w:t>Event</w:t>
            </w:r>
          </w:p>
        </w:tc>
        <w:tc>
          <w:tcPr>
            <w:tcW w:w="3288" w:type="dxa"/>
            <w:shd w:val="clear" w:color="auto" w:fill="D1CCBE"/>
          </w:tcPr>
          <w:p>
            <w:pPr>
              <w:pStyle w:val="TableParagraph"/>
              <w:spacing w:before="40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</w:p>
        </w:tc>
        <w:tc>
          <w:tcPr>
            <w:tcW w:w="2448" w:type="dxa"/>
            <w:shd w:val="clear" w:color="auto" w:fill="D1CCBE"/>
          </w:tcPr>
          <w:p>
            <w:pPr>
              <w:pStyle w:val="TableParagraph"/>
              <w:spacing w:before="40"/>
              <w:ind w:right="78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</w:p>
        </w:tc>
        <w:tc>
          <w:tcPr>
            <w:tcW w:w="2478" w:type="dxa"/>
            <w:shd w:val="clear" w:color="auto" w:fill="D1CCBE"/>
          </w:tcPr>
          <w:p>
            <w:pPr>
              <w:pStyle w:val="TableParagraph"/>
              <w:spacing w:before="40"/>
              <w:rPr>
                <w:b/>
                <w:sz w:val="20"/>
              </w:rPr>
            </w:pPr>
            <w:r>
              <w:rPr>
                <w:b/>
                <w:sz w:val="20"/>
              </w:rPr>
              <w:t>Tickets</w:t>
            </w:r>
          </w:p>
        </w:tc>
      </w:tr>
      <w:tr>
        <w:trPr>
          <w:trHeight w:val="1504" w:hRule="exact"/>
        </w:trPr>
        <w:tc>
          <w:tcPr>
            <w:tcW w:w="2247" w:type="dxa"/>
            <w:shd w:val="clear" w:color="auto" w:fill="D1CCBE"/>
          </w:tcPr>
          <w:p>
            <w:pPr>
              <w:pStyle w:val="TableParagraph"/>
              <w:spacing w:line="249" w:lineRule="auto"/>
              <w:ind w:right="177"/>
              <w:rPr>
                <w:sz w:val="20"/>
              </w:rPr>
            </w:pPr>
            <w:r>
              <w:rPr>
                <w:sz w:val="20"/>
              </w:rPr>
              <w:t>Play: </w:t>
            </w:r>
            <w:r>
              <w:rPr>
                <w:i/>
                <w:sz w:val="20"/>
              </w:rPr>
              <w:t>A Portrait of the </w:t>
            </w:r>
            <w:r>
              <w:rPr>
                <w:i/>
                <w:sz w:val="20"/>
              </w:rPr>
              <w:t>Artist as a Young Man </w:t>
            </w:r>
            <w:r>
              <w:rPr>
                <w:sz w:val="20"/>
              </w:rPr>
              <w:t>Directed by</w:t>
            </w:r>
          </w:p>
          <w:p>
            <w:pPr>
              <w:pStyle w:val="TableParagraph"/>
              <w:spacing w:before="1"/>
              <w:ind w:right="177"/>
              <w:rPr>
                <w:sz w:val="20"/>
              </w:rPr>
            </w:pPr>
            <w:r>
              <w:rPr>
                <w:sz w:val="20"/>
              </w:rPr>
              <w:t>Wayne Pearn</w:t>
            </w:r>
          </w:p>
        </w:tc>
        <w:tc>
          <w:tcPr>
            <w:tcW w:w="3288" w:type="dxa"/>
            <w:shd w:val="clear" w:color="auto" w:fill="D1CCBE"/>
          </w:tcPr>
          <w:p>
            <w:pPr>
              <w:pStyle w:val="TableParagraph"/>
              <w:spacing w:line="249" w:lineRule="auto"/>
              <w:rPr>
                <w:sz w:val="20"/>
              </w:rPr>
            </w:pPr>
            <w:r>
              <w:rPr>
                <w:sz w:val="20"/>
              </w:rPr>
              <w:t>Preview, Wed. 15 June, 8.00pm Opening, Thurs. 16 June, 8.00pm Fri. 17 June, 8.00pm</w:t>
            </w:r>
          </w:p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Sat. 18 June, 8.00pm</w:t>
            </w:r>
          </w:p>
          <w:p>
            <w:pPr>
              <w:pStyle w:val="TableParagraph"/>
              <w:spacing w:before="10"/>
              <w:rPr>
                <w:sz w:val="20"/>
              </w:rPr>
            </w:pPr>
            <w:r>
              <w:rPr>
                <w:sz w:val="20"/>
              </w:rPr>
              <w:t>Sun. 19 June, Matinee, 3.00pm</w:t>
            </w:r>
          </w:p>
        </w:tc>
        <w:tc>
          <w:tcPr>
            <w:tcW w:w="2448" w:type="dxa"/>
            <w:shd w:val="clear" w:color="auto" w:fill="D1CCBE"/>
          </w:tcPr>
          <w:p>
            <w:pPr>
              <w:pStyle w:val="TableParagraph"/>
              <w:spacing w:line="249" w:lineRule="auto"/>
              <w:ind w:right="78"/>
              <w:rPr>
                <w:sz w:val="20"/>
              </w:rPr>
            </w:pPr>
            <w:r>
              <w:rPr>
                <w:sz w:val="20"/>
              </w:rPr>
              <w:t>fortyfivedownstairs, 45 Flinders Lane, Melbourne</w:t>
            </w:r>
          </w:p>
        </w:tc>
        <w:tc>
          <w:tcPr>
            <w:tcW w:w="2478" w:type="dxa"/>
            <w:shd w:val="clear" w:color="auto" w:fill="D1CCBE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Earlybird (on some seats</w:t>
            </w:r>
          </w:p>
          <w:p>
            <w:pPr>
              <w:pStyle w:val="TableParagraph"/>
              <w:spacing w:line="249" w:lineRule="auto" w:before="10"/>
              <w:ind w:right="218"/>
              <w:rPr>
                <w:sz w:val="20"/>
              </w:rPr>
            </w:pPr>
            <w:r>
              <w:rPr>
                <w:sz w:val="20"/>
              </w:rPr>
              <w:t>– not 16 June): $33 Adult: $38</w:t>
            </w:r>
          </w:p>
          <w:p>
            <w:pPr>
              <w:pStyle w:val="TableParagraph"/>
              <w:spacing w:line="249" w:lineRule="auto" w:before="1"/>
              <w:ind w:right="218"/>
              <w:rPr>
                <w:sz w:val="20"/>
              </w:rPr>
            </w:pPr>
            <w:r>
              <w:rPr>
                <w:sz w:val="20"/>
              </w:rPr>
              <w:t>Concession: $33 (health &amp; student cards)</w:t>
            </w:r>
          </w:p>
        </w:tc>
      </w:tr>
      <w:tr>
        <w:trPr>
          <w:trHeight w:val="1113" w:hRule="exact"/>
        </w:trPr>
        <w:tc>
          <w:tcPr>
            <w:tcW w:w="2247" w:type="dxa"/>
            <w:shd w:val="clear" w:color="auto" w:fill="D1CCBE"/>
          </w:tcPr>
          <w:p>
            <w:pPr>
              <w:pStyle w:val="TableParagraph"/>
              <w:ind w:right="177"/>
              <w:rPr>
                <w:sz w:val="20"/>
              </w:rPr>
            </w:pPr>
            <w:r>
              <w:rPr>
                <w:sz w:val="20"/>
              </w:rPr>
              <w:t>Bloomsday Seminar</w:t>
            </w:r>
          </w:p>
        </w:tc>
        <w:tc>
          <w:tcPr>
            <w:tcW w:w="3288" w:type="dxa"/>
            <w:shd w:val="clear" w:color="auto" w:fill="D1CCBE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Thurs. 16 June, 3.30–5.15pm.</w:t>
            </w:r>
          </w:p>
        </w:tc>
        <w:tc>
          <w:tcPr>
            <w:tcW w:w="2448" w:type="dxa"/>
            <w:shd w:val="clear" w:color="auto" w:fill="D1CCBE"/>
          </w:tcPr>
          <w:p>
            <w:pPr>
              <w:pStyle w:val="TableParagraph"/>
              <w:ind w:right="78"/>
              <w:rPr>
                <w:sz w:val="20"/>
              </w:rPr>
            </w:pPr>
            <w:r>
              <w:rPr>
                <w:sz w:val="20"/>
              </w:rPr>
              <w:t>Papa Goose</w:t>
            </w:r>
          </w:p>
          <w:p>
            <w:pPr>
              <w:pStyle w:val="TableParagraph"/>
              <w:spacing w:line="249" w:lineRule="auto" w:before="10"/>
              <w:ind w:right="178"/>
              <w:rPr>
                <w:sz w:val="20"/>
              </w:rPr>
            </w:pPr>
            <w:r>
              <w:rPr>
                <w:sz w:val="20"/>
              </w:rPr>
              <w:t>91-3 Flinders Lane, Mel- bourne</w:t>
            </w:r>
          </w:p>
        </w:tc>
        <w:tc>
          <w:tcPr>
            <w:tcW w:w="2478" w:type="dxa"/>
            <w:shd w:val="clear" w:color="auto" w:fill="D1CCBE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$20</w:t>
            </w:r>
          </w:p>
          <w:p>
            <w:pPr>
              <w:pStyle w:val="TableParagraph"/>
              <w:spacing w:before="10"/>
              <w:rPr>
                <w:sz w:val="20"/>
              </w:rPr>
            </w:pPr>
            <w:r>
              <w:rPr>
                <w:sz w:val="20"/>
              </w:rPr>
              <w:t>$15 Concession</w:t>
            </w:r>
          </w:p>
          <w:p>
            <w:pPr>
              <w:pStyle w:val="TableParagraph"/>
              <w:spacing w:before="10"/>
              <w:rPr>
                <w:sz w:val="20"/>
              </w:rPr>
            </w:pPr>
            <w:r>
              <w:rPr>
                <w:sz w:val="20"/>
              </w:rPr>
              <w:t>(health &amp; student cards)</w:t>
            </w:r>
          </w:p>
        </w:tc>
      </w:tr>
      <w:tr>
        <w:trPr>
          <w:trHeight w:val="1064" w:hRule="exact"/>
        </w:trPr>
        <w:tc>
          <w:tcPr>
            <w:tcW w:w="2247" w:type="dxa"/>
            <w:shd w:val="clear" w:color="auto" w:fill="D1CCBE"/>
          </w:tcPr>
          <w:p>
            <w:pPr>
              <w:pStyle w:val="TableParagraph"/>
              <w:spacing w:line="249" w:lineRule="auto"/>
              <w:rPr>
                <w:sz w:val="20"/>
              </w:rPr>
            </w:pPr>
            <w:r>
              <w:rPr>
                <w:sz w:val="20"/>
              </w:rPr>
              <w:t>Bloomsday Dinner and Entertainment</w:t>
            </w:r>
          </w:p>
        </w:tc>
        <w:tc>
          <w:tcPr>
            <w:tcW w:w="3288" w:type="dxa"/>
            <w:shd w:val="clear" w:color="auto" w:fill="D1CCBE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Thurs. 16 June, 6.00pm – 7.45pm</w:t>
            </w:r>
          </w:p>
        </w:tc>
        <w:tc>
          <w:tcPr>
            <w:tcW w:w="2448" w:type="dxa"/>
            <w:shd w:val="clear" w:color="auto" w:fill="D1CCBE"/>
          </w:tcPr>
          <w:p>
            <w:pPr>
              <w:pStyle w:val="TableParagraph"/>
              <w:ind w:right="78"/>
              <w:rPr>
                <w:sz w:val="20"/>
              </w:rPr>
            </w:pPr>
            <w:r>
              <w:rPr>
                <w:sz w:val="20"/>
              </w:rPr>
              <w:t>Papa Goose</w:t>
            </w:r>
          </w:p>
          <w:p>
            <w:pPr>
              <w:pStyle w:val="TableParagraph"/>
              <w:spacing w:line="249" w:lineRule="auto" w:before="10"/>
              <w:ind w:right="178"/>
              <w:rPr>
                <w:sz w:val="20"/>
              </w:rPr>
            </w:pPr>
            <w:r>
              <w:rPr>
                <w:sz w:val="20"/>
              </w:rPr>
              <w:t>91-3 Flinders Lane, Mel- bourne</w:t>
            </w:r>
          </w:p>
        </w:tc>
        <w:tc>
          <w:tcPr>
            <w:tcW w:w="2478" w:type="dxa"/>
            <w:shd w:val="clear" w:color="auto" w:fill="D1CCBE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$45</w:t>
            </w:r>
          </w:p>
          <w:p>
            <w:pPr>
              <w:pStyle w:val="TableParagraph"/>
              <w:spacing w:line="249" w:lineRule="auto" w:before="10"/>
              <w:rPr>
                <w:sz w:val="20"/>
              </w:rPr>
            </w:pPr>
            <w:r>
              <w:rPr>
                <w:sz w:val="20"/>
              </w:rPr>
              <w:t>2-course meal; drinks at Bar Prices</w:t>
            </w:r>
          </w:p>
        </w:tc>
      </w:tr>
    </w:tbl>
    <w:p>
      <w:pPr>
        <w:pStyle w:val="BodyText"/>
        <w:spacing w:before="2"/>
        <w:rPr>
          <w:sz w:val="26"/>
        </w:rPr>
      </w:pPr>
      <w:r>
        <w:rPr/>
        <w:drawing>
          <wp:anchor distT="0" distB="0" distL="0" distR="0" allowOverlap="1" layoutInCell="1" locked="0" behindDoc="0" simplePos="0" relativeHeight="1096">
            <wp:simplePos x="0" y="0"/>
            <wp:positionH relativeFrom="page">
              <wp:posOffset>460336</wp:posOffset>
            </wp:positionH>
            <wp:positionV relativeFrom="paragraph">
              <wp:posOffset>216454</wp:posOffset>
            </wp:positionV>
            <wp:extent cx="2627072" cy="680466"/>
            <wp:effectExtent l="0" t="0" r="0" b="0"/>
            <wp:wrapTopAndBottom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7072" cy="680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40"/>
      <w:pgMar w:top="400" w:bottom="0" w:left="58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</w:rPr>
  </w:style>
  <w:style w:styleId="Heading1" w:type="paragraph">
    <w:name w:val="Heading 1"/>
    <w:basedOn w:val="Normal"/>
    <w:uiPriority w:val="1"/>
    <w:qFormat/>
    <w:pPr>
      <w:spacing w:before="50"/>
      <w:ind w:left="144"/>
      <w:outlineLvl w:val="1"/>
    </w:pPr>
    <w:rPr>
      <w:rFonts w:ascii="Arial" w:hAnsi="Arial" w:eastAsia="Arial" w:cs="Arial"/>
      <w:b/>
      <w:bCs/>
      <w:sz w:val="30"/>
      <w:szCs w:val="30"/>
    </w:rPr>
  </w:style>
  <w:style w:styleId="Heading2" w:type="paragraph">
    <w:name w:val="Heading 2"/>
    <w:basedOn w:val="Normal"/>
    <w:uiPriority w:val="1"/>
    <w:qFormat/>
    <w:pPr>
      <w:spacing w:before="49"/>
      <w:ind w:left="151" w:right="1371"/>
      <w:outlineLvl w:val="2"/>
    </w:pPr>
    <w:rPr>
      <w:rFonts w:ascii="Arial" w:hAnsi="Arial" w:eastAsia="Arial" w:cs="Arial"/>
      <w:b/>
      <w:bCs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33"/>
      <w:ind w:left="77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bloomsdayinmelbourne.org.au/bookings" TargetMode="External"/><Relationship Id="rId7" Type="http://schemas.openxmlformats.org/officeDocument/2006/relationships/hyperlink" Target="http://www.bloomsdayinmelbourne.org.au/%20bloomsday-2016-a-portrait-of-the-artist-as-a-young-man/" TargetMode="External"/><Relationship Id="rId8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2016-05-16T01:12:31Z</dcterms:created>
  <dcterms:modified xsi:type="dcterms:W3CDTF">2016-05-16T01:12:31Z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2016-05-02T00:00:00Z</vt:filetime>
  </property>
  <property fmtid="{D5CDD505-2E9C-101B-9397-08002B2CF9AE}" pid="3" name="Creator">
    <vt:lpwstr>Adobe InDesign CC 2015 (Macintosh)</vt:lpwstr>
  </property>
  <property fmtid="{D5CDD505-2E9C-101B-9397-08002B2CF9AE}" pid="4" name="LastSaved">
    <vt:filetime>2016-05-16T00:00:00Z</vt:filetime>
  </property>
</Properties>
</file>